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26a PartG — Begriff der Ausgabe</w:t>
      </w:r>
    </w:p>
    <w:p>
      <w:r>
        <w:rPr>
          <w:color w:val="555555"/>
          <w:sz w:val="18"/>
        </w:rPr>
        <w:t xml:space="preserve">Parteiengesetz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Ausgabe ist, soweit für einzelne Ausgabearten (§ 24 Abs. 5) nichts Besonderes gilt, auch jede von der Partei erbrachte Geldleistung oder geldwerte Leistung sowie die Nutzung von Einnahmen nach § 26 Abs. 1 Satz 2, die die Partei erlangt hat. Als Ausgabe gelten auch planmäßige und außerplanmäßige Abschreibungen auf Vermögensgegenstände und die Bildung von Rückstellungen.</w:t>
      </w:r>
    </w:p>
    <w:p>
      <w:r>
        <w:t xml:space="preserve">(2) § 26 Abs. 2 gilt entsprechend.</w:t>
      </w:r>
    </w:p>
    <w:p>
      <w:r>
        <w:t xml:space="preserve">(3) Vermögensgegenstände sind zum Zeitpunkt einer Veräußerung mit ihrem Buchwert als Ausgaben zu erfassen.</w:t>
      </w:r>
    </w:p>
    <w:p>
      <w:r>
        <w:t xml:space="preserve">(4) Ausgaben aus der internen Verrechnung zwischen Gliederungen sind bei der Gliederung zu erfassen, von der sie wirtschaftlich getragen werden.</w:t>
      </w:r>
    </w:p>
    <w:p>
      <w:r>
        <w:rPr>
          <w:color w:val="555555"/>
          <w:sz w:val="17"/>
        </w:rPr>
        <w:t xml:space="preserve">Zitiervorschlag: § 26a PartG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https://recht.nulegal.eu/gesetze/PartG/26a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