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PartG — Allgemeine Parteiausschüsse</w:t>
      </w:r>
    </w:p>
    <w:p>
      <w:r>
        <w:rPr>
          <w:color w:val="555555"/>
          <w:sz w:val="18"/>
        </w:rPr>
        <w:t xml:space="preserve">Parteiengesetz</w:t>
      </w:r>
    </w:p>
    <w:p>
      <w:r>
        <w:rPr>
          <w:color w:val="555555"/>
          <w:sz w:val="18"/>
        </w:rPr>
        <w:t xml:space="preserve">Stand: 10.06.2019 (konsolidierte Textfassung, kein amtliches Inkrafttretensdatum)</w:t>
      </w:r>
    </w:p>
    <w:p>
      <w:r>
        <w:t xml:space="preserve">(1) Die Mitglieder von allgemeinen Parteiausschüssen und ähnlichen Einrichtungen, die nach der Satzung umfassende Zuständigkeiten für die Beratung oder Entscheidung politischer und organisatorischer Fragen der Partei besitzen, können auch von nachgeordneten Gebietsverbänden gewählt werden.</w:t>
      </w:r>
    </w:p>
    <w:p>
      <w:r>
        <w:t xml:space="preserve">(2) Der Vorstand und Angehörige des in § 11 Abs. 2 genannten Personenkreises können einem solchen Organ kraft Satzung angehören. Der Anteil der nicht gewählten Mitglieder darf ein Drittel der Gesamtmitgliederzahl des Organs nicht übersteigen; er kann um weitere Mitglieder mit nur beratender Stimme erhöht werden, muß jedoch auch dann noch unter der Hälfte der Gesamtmitgliederzahl des Organs liegen.</w:t>
      </w:r>
    </w:p>
    <w:p>
      <w:r>
        <w:t xml:space="preserve">(3) Das Amt der gewählten Mitglieder der in Absatz 1 genannten Organe dauert höchstens zwei Jahre.</w:t>
      </w:r>
    </w:p>
    <w:p>
      <w:r>
        <w:rPr>
          <w:color w:val="555555"/>
          <w:sz w:val="17"/>
        </w:rPr>
        <w:t xml:space="preserve">Zitiervorschlag: § 12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