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20b PartG DDR</w:t>
      </w:r>
    </w:p>
    <w:p>
      <w:r>
        <w:rPr>
          <w:color w:val="555555"/>
          <w:sz w:val="18"/>
        </w:rPr>
        <w:t xml:space="preserve">Parteiengesetz</w:t>
      </w:r>
    </w:p>
    <w:p>
      <w:r>
        <w:rPr>
          <w:color w:val="555555"/>
          <w:sz w:val="18"/>
        </w:rPr>
        <w:t xml:space="preserve">Stand: 01.07.2020 (konsolidierte Textfassung, kein amtliches Inkrafttretensdatum)</w:t>
      </w:r>
    </w:p>
    <w:p>
      <w:r>
        <w:t xml:space="preserve">(1) Mit Inkrafttreten dieses Gesetzes können die Parteien und die ihnen verbundenen Organisationen, juristischen Personen und Massenorganisationen Vermögensveränderungen wirksam nur mit Zustimmung der Bundesanstalt für vereinigungsbedingte Sonderaufgaben oder deren Rechtsnachfolger vornehmen.</w:t>
      </w:r>
    </w:p>
    <w:p>
      <w:r>
        <w:t xml:space="preserve">(2) Zur Sicherung von Vermögenswerten von Parteien oder ihnen verbundenen Organisationen, juristischen Personen und Massenorganisationen wird das Vermögen der Parteien und der ihnen verbundenen Organisationen, juristischen Personen und Massenorganisationen, das am 7. Oktober 1989 bestanden oder seither an die Stelle dieses Vermögens getreten ist, unter treuhänderische Verwaltung gestellt.</w:t>
      </w:r>
    </w:p>
    <w:p>
      <w:r>
        <w:t xml:space="preserve">(3) Die treuhänderische Verwaltung wird von der Bundesanstalt für vereinigungsbedingte Sonderaufgaben oder deren Rechtsnachfolger wahrgenommen. Diese führt das Vermögen an die früher Berechtigten oder deren Rechtsnachfolger zurück. Soweit dies nicht möglich ist, ist das Vermögen zugunsten gemeinnütziger Zwecke, insbesondere der wirtschaftlichen Umstrukturierung, in dem in Artikel 3 des Einigungsvertrages genannten Gebiet zu verwenden. Nur soweit Vermögen nachweislich nach materiell-rechtsstaatlichen Grundsätzen im Sinne des Grundgesetzes erworben worden ist, wird es den Parteien und den in § 20a Abs. 1 genannten Institutionen wieder zur Verfügung gestellt.</w:t>
      </w:r>
    </w:p>
    <w:p>
      <w:r>
        <w:t xml:space="preserve">(4) Im Einvernehmen mit dem Bundesministerium des Innern, für Bau und Heimat kann das Bundesministerium der Finanzen durch Rechtsverordnung mit Zustimmung des Bundesrates die treuhänderische Verwaltung nach den Absätzen 2 und 3 auf eine Stelle des Bundes oder eine juristische Person des Privatrechts übertragen. Die Rechts- und Fachaufsicht obliegt dem Bundesministerium der Finanzen, das die Fachaufsicht im Einvernehmen mit dem Bundesministerium für Wirtschaft und Energie und dem jeweils zuständigen Bundesministerium wahrnimmt.</w:t>
      </w:r>
    </w:p>
    <w:p>
      <w:r>
        <w:rPr>
          <w:color w:val="555555"/>
          <w:sz w:val="17"/>
        </w:rPr>
        <w:t xml:space="preserve">Zitiervorschlag: § 20b PartG DDR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https://recht.nulegal.eu/gesetze/PartG%20DDR/20b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