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PartG DDR</w:t>
      </w:r>
    </w:p>
    <w:p>
      <w:r>
        <w:rPr>
          <w:color w:val="555555"/>
          <w:sz w:val="18"/>
        </w:rPr>
        <w:t xml:space="preserve">Parteiengesetz</w:t>
      </w:r>
    </w:p>
    <w:p>
      <w:r>
        <w:rPr>
          <w:color w:val="555555"/>
          <w:sz w:val="18"/>
        </w:rPr>
        <w:t xml:space="preserve">Stand: 10.06.2019 (konsolidierte Textfassung, kein amtliches Inkrafttretensdatum)</w:t>
      </w:r>
    </w:p>
    <w:p>
      <w:r>
        <w:t xml:space="preserve">(1) Die Parteien und die ihnen verbundenen Organisationen, juristischen Personen und Massenorganisationen haben vollständig Rechenschaft zu legen,</w:t>
      </w:r>
    </w:p>
    <w:p>
      <w:pPr>
        <w:ind w:left="420"/>
      </w:pPr>
      <w:r>
        <w:t xml:space="preserve">a) welche Vermögenswerte seit dem 8. Mai 1945 in ihr Vermögen oder das einer Vorgänger- oder Nachfolgeorganisation durch Erwerb, Enteignung oder auf sonstige Weise gelangt sind oder veräußert, verschenkt oder auf sonstige Weise abgegeben wurde;</w:t>
      </w:r>
    </w:p>
    <w:p>
      <w:pPr>
        <w:ind w:left="420"/>
      </w:pPr>
      <w:r>
        <w:t xml:space="preserve">b) insbesondere ist eine Vermögensübersicht nach dem Stand vom 7. Oktober 1989 sowie über die seitdem erfolgten Veränderungen zu erstellen.</w:t>
      </w:r>
    </w:p>
    <w:p>
      <w:r>
        <w:t xml:space="preserve">(2) Die Rechenschaftspflicht erstreckt sich auf sämtliche Vorgänge und Unterlagen, die für die Beurteilung der Vermögenssituation von Bedeutung sein können, insbesondere auch auf rechtliche, wirtschaftliche oder sonstige Beteiligungen an Unternehmen und geschäftliche Verbindungen, auch wenn sie über andere natürliche oder juristische Personen abgewickelt wurden, wobei eine wirtschaftliche Betrachtungsweise zugrunde zu legen ist.</w:t>
      </w:r>
    </w:p>
    <w:p>
      <w:r>
        <w:rPr>
          <w:color w:val="555555"/>
          <w:sz w:val="17"/>
        </w:rPr>
        <w:t xml:space="preserve">Zitiervorschlag: § 20a PartG DDR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https://recht.nulegal.eu/gesetze/PartG%20DDR/20a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