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ParlStG 1974</w:t>
      </w:r>
    </w:p>
    <w:p>
      <w:r>
        <w:rPr>
          <w:color w:val="555555"/>
          <w:sz w:val="18"/>
        </w:rPr>
        <w:t xml:space="preserve">Gesetz über die Rechtsverhältnisse der Parlamentarischen Staatssekretäre</w:t>
      </w:r>
    </w:p>
    <w:p>
      <w:r>
        <w:rPr>
          <w:color w:val="555555"/>
          <w:sz w:val="18"/>
        </w:rPr>
        <w:t xml:space="preserve">Stand: 10.06.2019 (konsolidierte Textfassung, kein amtliches Inkrafttretensdatum)</w:t>
      </w:r>
    </w:p>
    <w:p>
      <w:r>
        <w:t xml:space="preserve">Auf Vorschlag des Bundeskanzlers im Einvernehmen mit dem zuständigen Bundesminister kann der Bundespräsident einem Parlamentarischen Staatssekretär für die Dauer seines Amtsverhältnisses oder für die Wahrnehmung einer bestimmten Aufgabe das Recht verleihen, die Bezeichnung "Staatsminister" zu führen.</w:t>
      </w:r>
    </w:p>
    <w:p>
      <w:r>
        <w:rPr>
          <w:color w:val="555555"/>
          <w:sz w:val="17"/>
        </w:rPr>
        <w:t xml:space="preserve">Zitiervorschlag: § 8 ParlStG 1974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https://recht.nulegal.eu/gesetze/ParlStG%201974/8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