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ParlStG 1974</w:t>
      </w:r>
    </w:p>
    <w:p>
      <w:r>
        <w:rPr>
          <w:color w:val="555555"/>
          <w:sz w:val="18"/>
        </w:rPr>
        <w:t xml:space="preserve">Gesetz über die Rechtsverhältnisse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Bundesminister geltenden Vorschriften der §§ 2, 4 bis 8, 18 bis 20 und 21a des Bundesministergesetzes sind entsprechend anzuwenden; bei Anwendung des § 5 Abs. 1 Satz 3 entscheidet die Bundesregierung, des § 5 Abs. 3 das zuständige Mitglied der Bundesregierung. Die Anzeige nach § 6a des Bundesministergesetzes erfolgt gegenüber dem zuständigen Mitglied der Bundesregierung.</w:t>
      </w:r>
    </w:p>
    <w:p>
      <w:r>
        <w:rPr>
          <w:color w:val="555555"/>
          <w:sz w:val="17"/>
        </w:rPr>
        <w:t xml:space="preserve">Zitiervorschlag: § 7 ParlStG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https://recht.nulegal.eu/gesetze/ParlStG%201974/7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