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ParlStG 1974</w:t>
      </w:r>
    </w:p>
    <w:p>
      <w:r>
        <w:rPr>
          <w:color w:val="555555"/>
          <w:sz w:val="18"/>
        </w:rPr>
        <w:t xml:space="preserve">Gesetz über die Rechtsverhältnisse der Parlamentarischen Staatssekretäre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Parlamentarischen Staatssekretäre erhalten vom Beginn des Kalendermonats an, in dem das Amtsverhältnis beginnt, bis zum Ende des Kalendermonats, in dem das Amtsverhältnis endet, Amtsbezüge. § 11 Abs. 1, 2, 4 des Bundesministergesetzes ist mit der Maßgabe entsprechend anzuwenden, daß das Amtsgehalt und die Dienstaufwandsentschädigung fünfundsiebzig vom Hundert des Amtsgehalts und der Dienstaufwandsentschädigung eines Bundesministers betragen.</w:t>
      </w:r>
    </w:p>
    <w:p>
      <w:r>
        <w:t xml:space="preserve">(2) Die für Bundesminister geltenden beihilferechtlichen, reise- und umzugskostenrechtlichen Vorschriften sind entsprechend anzuwenden.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 ParlStG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https://recht.nulegal.eu/gesetze/ParlStG%201974/5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