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ParlStG 1974</w:t>
      </w:r>
    </w:p>
    <w:p>
      <w:r>
        <w:rPr>
          <w:color w:val="555555"/>
          <w:sz w:val="18"/>
        </w:rPr>
        <w:t xml:space="preserve">Gesetz über die Rechtsverhältnisse der Parlamentarischen Staatssekretäre</w:t>
      </w:r>
    </w:p>
    <w:p>
      <w:r>
        <w:rPr>
          <w:color w:val="555555"/>
          <w:sz w:val="18"/>
        </w:rPr>
        <w:t xml:space="preserve">Stand: 10.06.2019 (konsolidierte Textfassung, kein amtliches Inkrafttretensdatum)</w:t>
      </w:r>
    </w:p>
    <w:p>
      <w:r>
        <w:t xml:space="preserve">Die Parlamentarischen Staatssekretäre können jederzeit entlassen werden, sie können jederzeit ihre Entlassung verlangen. Der Bundeskanzler schlägt dem Bundespräsidenten die Entlassung im Einvernehmen mit dem zuständigen Bundesminister vor. Das Amtsverhältnis eines Parlamentarischen Staatssekretärs endet mit dem Ende des Amtsverhältnisses, im Falle des Artikels 69 Abs. 3 des Grundgesetzes mit dem Ende der Geschäftsführung des zuständigen Mitgliedes der Bundesregierung. Es endet, wenn er Mitglied des Bundestages ist, auch mit dem Ausscheiden des Parlamentarischen Staatssekretärs aus dem Deutschen Bundestag, nicht jedoch mit dem Ende der Wahlperiode nach Artikel 39 Abs. 1 Satz 2 des Grundgesetzes. § 10 des Bundesministergesetzes in der Fassung der Bekanntmachung vom 27. Juli 1971 (Bundesgesetzbl. I S. 1166), geändert durch das Einführungsgesetz zum Strafgesetzbuch vom 2. März 1974 (Bundesgesetzblatt I S. 469), ist entsprechend anzuwenden.</w:t>
      </w:r>
    </w:p>
    <w:p>
      <w:r>
        <w:rPr>
          <w:color w:val="555555"/>
          <w:sz w:val="17"/>
        </w:rPr>
        <w:t xml:space="preserve">Zitiervorschlag: § 4 ParlStG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https://recht.nulegal.eu/gesetze/ParlStG%201974/4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