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ParlStG 1974</w:t>
      </w:r>
    </w:p>
    <w:p>
      <w:r>
        <w:rPr>
          <w:color w:val="555555"/>
          <w:sz w:val="18"/>
        </w:rPr>
        <w:t xml:space="preserve">Gesetz über die Rechtsverhältnisse der Parlamentarischen Staatssekretäre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Parlamentarischen Staatssekretäre werden vom Bundespräsidenten ernannt. Der Bundeskanzler schlägt dem Bundespräsidenten die Ernennung im Einvernehmen mit dem Bundesminister vor, für den der Parlamentarische Staatssekretär tätig werden soll.</w:t>
      </w:r>
    </w:p>
    <w:p>
      <w:r>
        <w:rPr>
          <w:color w:val="555555"/>
          <w:sz w:val="17"/>
        </w:rPr>
        <w:t xml:space="preserve">Zitiervorschlag: § 2 ParlStG 1974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https://recht.nulegal.eu/gesetze/ParlStG%201974/2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