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ParlStG 1974</w:t>
      </w:r>
    </w:p>
    <w:p>
      <w:r>
        <w:rPr>
          <w:color w:val="555555"/>
          <w:sz w:val="18"/>
        </w:rPr>
        <w:t xml:space="preserve">Gesetz über die Rechtsverhältnisse der Parlamentarischen Staatssekretäre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</w:t>
      </w:r>
    </w:p>
    <w:p>
      <w:r>
        <w:t xml:space="preserve">(2) Durch Landesgesetz ist zu bestimmen, daß die Zeit der Bekleidung des Amtes eines Parlamentarischen Staatssekretärs der im Beamtenverhältnis zurückgelegten Dienstzeit entsprechend § 6 Absatz 3 Nummer 3 des Beamtenversorgungsgesetzes gleichsteht.</w:t>
      </w:r>
    </w:p>
    <w:p>
      <w:r>
        <w:t xml:space="preserve">(3)</w:t>
      </w:r>
    </w:p>
    <w:p>
      <w:r>
        <w:rPr>
          <w:color w:val="555555"/>
          <w:sz w:val="17"/>
        </w:rPr>
        <w:t xml:space="preserve">Zitiervorschlag: § 11 ParlStG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https://recht.nulegal.eu/gesetze/ParlStG%201974/11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