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ParlStG 1974</w:t>
      </w:r>
    </w:p>
    <w:p>
      <w:r>
        <w:rPr>
          <w:color w:val="555555"/>
          <w:sz w:val="18"/>
        </w:rPr>
        <w:t xml:space="preserve">Gesetz über die Rechtsverhältnisse der Parlamentarischen Staatssekretäre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Mitgliedern der Bundesregierung können Parlamentarische Staatssekretäre beigegeben werden; sie müssen Mitglieder des Deutschen Bundestages sein, bei der Ernennung eines Parlamentarischen Staatssekretärs beim Bundeskanzler kann von diesem Erfordernis abgesehen werden.</w:t>
      </w:r>
    </w:p>
    <w:p>
      <w:r>
        <w:t xml:space="preserve">(2) Die Parlamentarischen Staatssekretäre unterstützen die Mitglieder der Bundesregierung, denen sie beigegeben sind, bei der Erfüllung ihrer Regierungsaufgaben.</w:t>
      </w:r>
    </w:p>
    <w:p>
      <w:r>
        <w:t xml:space="preserve">(3) Die Parlamentarischen Staatssekretäre stehen nach Maßgabe dieses Gesetzes zum Bund in einem öffentlich-rechtlichen Amtsverhältnis.</w:t>
      </w:r>
    </w:p>
    <w:p>
      <w:r>
        <w:rPr>
          <w:color w:val="555555"/>
          <w:sz w:val="17"/>
        </w:rPr>
        <w:t xml:space="preserve">Zitiervorschlag: § 1 ParlStG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https://recht.nulegal.eu/gesetze/ParlStG%201974/1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