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ParlBG — Antrag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übersendet dem Bundestag den Antrag auf Zustimmung zum Einsatz der Streitkräfte rechtzeitig vor Beginn des Einsatzes.</w:t>
      </w:r>
    </w:p>
    <w:p>
      <w:r>
        <w:t xml:space="preserve">(2) Der Antrag der Bundesregierung enthält Angaben insbesondere über</w:t>
      </w:r>
    </w:p>
    <w:p>
      <w:pPr>
        <w:ind w:left="420"/>
      </w:pPr>
      <w:r>
        <w:t xml:space="preserve">- den Einsatzauftrag,</w:t>
      </w:r>
    </w:p>
    <w:p>
      <w:pPr>
        <w:ind w:left="420"/>
      </w:pPr>
      <w:r>
        <w:t xml:space="preserve">- das Einsatzgebiet,</w:t>
      </w:r>
    </w:p>
    <w:p>
      <w:pPr>
        <w:ind w:left="420"/>
      </w:pPr>
      <w:r>
        <w:t xml:space="preserve">- die rechtlichen Grundlagen des Einsatzes,</w:t>
      </w:r>
    </w:p>
    <w:p>
      <w:pPr>
        <w:ind w:left="420"/>
      </w:pPr>
      <w:r>
        <w:t xml:space="preserve">- die Höchstzahl der einzusetzenden Soldatinnen und Soldaten,</w:t>
      </w:r>
    </w:p>
    <w:p>
      <w:pPr>
        <w:ind w:left="420"/>
      </w:pPr>
      <w:r>
        <w:t xml:space="preserve">- die Fähigkeiten der einzusetzenden Streitkräfte,</w:t>
      </w:r>
    </w:p>
    <w:p>
      <w:pPr>
        <w:ind w:left="420"/>
      </w:pPr>
      <w:r>
        <w:t xml:space="preserve">- die geplante Dauer des Einsatzes,</w:t>
      </w:r>
    </w:p>
    <w:p>
      <w:pPr>
        <w:ind w:left="420"/>
      </w:pPr>
      <w:r>
        <w:t xml:space="preserve">- die voraussichtlichen Kosten und die Finanzierung.</w:t>
      </w:r>
    </w:p>
    <w:p>
      <w:r>
        <w:t xml:space="preserve">(3) Der Bundestag kann dem Antrag zustimmen oder ihn ablehnen. Änderungen des Antrags sind nicht zulässig.</w:t>
      </w:r>
    </w:p>
    <w:p>
      <w:r>
        <w:rPr>
          <w:color w:val="555555"/>
          <w:sz w:val="17"/>
        </w:rPr>
        <w:t xml:space="preserve">Zitiervorschlag: § 3 ParlBG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