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ParlBG — Begriffsbestimmung</w:t>
      </w:r>
    </w:p>
    <w:p>
      <w:r>
        <w:rPr>
          <w:color w:val="555555"/>
          <w:sz w:val="18"/>
        </w:rPr>
        <w:t xml:space="preserve">Parlamentsbeteiligungsgesetz</w:t>
      </w:r>
    </w:p>
    <w:p>
      <w:r>
        <w:rPr>
          <w:color w:val="555555"/>
          <w:sz w:val="18"/>
        </w:rPr>
        <w:t xml:space="preserve">Stand: 10.06.2019 (konsolidierte Textfassung, kein amtliches Inkrafttretensdatum)</w:t>
      </w:r>
    </w:p>
    <w:p>
      <w:r>
        <w:t xml:space="preserve">(1) Ein Einsatz bewaffneter Streitkräfte liegt vor, wenn Soldatinnen oder Soldaten der Bundeswehr in bewaffnete Unternehmungen einbezogen sind oder eine Einbeziehung in eine bewaffnete Unternehmung zu erwarten ist.</w:t>
      </w:r>
    </w:p>
    <w:p>
      <w:r>
        <w:t xml:space="preserve">(2) Vorbereitende Maßnahmen und Planungen sind kein Einsatz im Sinne dieses Gesetzes. Sie bedürfen keiner Zustimmung des Bundestages. Gleiches gilt für humanitäre Hilfsdienste und Hilfsleistungen der Streitkräfte, bei denen Waffen lediglich zum Zweck der Selbstverteidigung mitgeführt werden, wenn nicht zu erwarten ist, dass die Soldatinnen oder Soldaten in bewaffnete Unternehmungen einbezogen werden.</w:t>
      </w:r>
    </w:p>
    <w:p>
      <w:r>
        <w:rPr>
          <w:color w:val="555555"/>
          <w:sz w:val="17"/>
        </w:rPr>
        <w:t xml:space="preserve">Zitiervorschlag: § 2 ParlBG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https://recht.nulegal.eu/gesetze/ParlBG/2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