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ParlBG — Grundsatz</w:t>
      </w:r>
    </w:p>
    <w:p>
      <w:r>
        <w:rPr>
          <w:color w:val="555555"/>
          <w:sz w:val="18"/>
        </w:rPr>
        <w:t xml:space="preserve">Parlamentsbeteiligungsgesetz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regelt Form und Ausmaß der Beteiligung des Bundestages beim Einsatz bewaffneter deutscher Streitkräfte im Ausland. Artikel 115a des Grundgesetzes bleibt davon unberührt.</w:t>
      </w:r>
    </w:p>
    <w:p>
      <w:r>
        <w:t xml:space="preserve">(2) Der Einsatz bewaffneter deutscher Streitkräfte außerhalb des Geltungsbereichs des Grundgesetzes bedarf der Zustimmung des Bundestages.</w:t>
      </w:r>
    </w:p>
    <w:p>
      <w:r>
        <w:rPr>
          <w:color w:val="555555"/>
          <w:sz w:val="17"/>
        </w:rPr>
        <w:t xml:space="preserve">Zitiervorschlag: § 1 ParlBG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https://recht.nulegal.eu/gesetze/ParlBG/1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