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ParkettlMstrV — Ziel und Gliederung der Prüfung in Teil II</w:t>
      </w:r>
    </w:p>
    <w:p>
      <w:r>
        <w:rPr>
          <w:color w:val="555555"/>
          <w:sz w:val="18"/>
        </w:rPr>
        <w:t xml:space="preserve">Parkettlegermeisterverordnung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erforderlichen fachtheoretischen Kenntnisse im Parkettleger-Handwerk anwendet. Grundlage für den Nachweis bilden die Qualifikationen in den folgenden Handlungsfeldern:</w:t>
      </w:r>
    </w:p>
    <w:p>
      <w:pPr>
        <w:ind w:left="420"/>
      </w:pPr>
      <w:r>
        <w:t xml:space="preserve">1. nach Maßgabe des § 9 „Anforderungen von Kunden eines Parkettleger-Betriebs analysieren, Lösungen erarbeiten und anbieten“,</w:t>
      </w:r>
    </w:p>
    <w:p>
      <w:pPr>
        <w:ind w:left="420"/>
      </w:pPr>
      <w:r>
        <w:t xml:space="preserve">2. nach Maßgabe des § 10 „Leistungen eines Parkettleger-Betriebs erstellen, kontrollieren und übergeben“ und</w:t>
      </w:r>
    </w:p>
    <w:p>
      <w:pPr>
        <w:ind w:left="420"/>
      </w:pPr>
      <w:r>
        <w:t xml:space="preserve">3. nach Maßgabe des § 11 „Einen Parkettleger-Betrieb führen und organisieren“.</w:t>
      </w:r>
    </w:p>
    <w:p>
      <w:r>
        <w:t xml:space="preserve">(2) Der Prüfling hat in jedem der drei Handlungsfelder mindestens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drei Stunden zur Verfügung. Eine Prüfungsdauer von sechs Stunden an einem Tag darf nicht überschritten werden.</w:t>
      </w:r>
    </w:p>
    <w:p>
      <w:r>
        <w:rPr>
          <w:color w:val="555555"/>
          <w:sz w:val="17"/>
        </w:rPr>
        <w:t xml:space="preserve">Zitiervorschlag: § 8 ParkettlMstrV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https://recht.nulegal.eu/gesetze/ParkettlMstrV/8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