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ParkettlMeistPrV — Gliederung, Dauer und Bestehen der praktischen Prüfung (Teil I)</w:t>
      </w:r>
    </w:p>
    <w:p>
      <w:r>
        <w:rPr>
          <w:color w:val="555555"/>
          <w:sz w:val="18"/>
        </w:rPr>
        <w:t xml:space="preserve">Verordnung über das Berufsbild und über die Prüfungsanforderungen im praktischen Teil und im fachtheoretischen Teil der Meisterprüfung für das Parkettleger-Handwerk</w:t>
      </w:r>
    </w:p>
    <w:p>
      <w:r>
        <w:rPr>
          <w:color w:val="555555"/>
          <w:sz w:val="18"/>
        </w:rPr>
        <w:t xml:space="preserve">Historische Fassung: Stand 10.06.2019 bis 01.07.2020. Dies ist nicht die aktuelle Fassung.</w:t>
      </w:r>
    </w:p>
    <w:p>
      <w:r>
        <w:t xml:space="preserve">(1) In Teil I sind eine Meisterprüfungsarbeit anzufertigen und eine Arbeitsprobe auszuführen. Die Meisterprüfungsarbeit soll aus dem Tätigkeitsbereich gewählt werden, in dem der Prüfling überwiegend tätig gewesen ist.</w:t>
      </w:r>
    </w:p>
    <w:p>
      <w:r>
        <w:t xml:space="preserve">(2) Die Meisterprüfungsarbeit soll nicht mehr als sechs Arbeitstage ausschließlich der Trocknungszeiten, die Arbeitsprobe nicht mehr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ParkettlMeistPrV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https://recht.nulegal.eu/gesetze/ParkettlMeistPrV/2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