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PapIndMeistPrV 2005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- Fachrichtung Papiererzeugung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7 und 8 außer Betracht. Für die übrigen Prüfungsbestandteile erhöhen sich die Anteile nach § 7 Absatz 2 Satz 2 oder Absatz 3 Satz 2 oder § 8 Absatz 4 Satz 1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6 PapIndMeistPrV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https://recht.nulegal.eu/gesetze/PapIndMeistPrV%202005/6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