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PackungsV</w:t>
      </w:r>
    </w:p>
    <w:p>
      <w:r>
        <w:rPr>
          <w:color w:val="555555"/>
          <w:sz w:val="18"/>
        </w:rPr>
        <w:t xml:space="preserve">Packungsgrößenverordnung</w:t>
      </w:r>
    </w:p>
    <w:p>
      <w:r>
        <w:rPr>
          <w:color w:val="555555"/>
          <w:sz w:val="18"/>
        </w:rPr>
        <w:t xml:space="preserve">Stand: 10.06.2019 (konsolidierte Textfassung, kein amtliches Inkrafttretensdatum)</w:t>
      </w:r>
    </w:p>
    <w:p>
      <w:r>
        <w:t xml:space="preserve">Für die Versorgung von Arztpraxen oder ärztlich geleiteten Einrichtungen mit Arzneimitteln können Krankenkassen und ihre Verbände mit Kassenärztlichen Vereinigungen oder mit Vertragsärzten durch Vereinbarungen, die nach dem Fünften Buch Sozialgesetzbuch zulässig sind, vorsehen, dass für die Verordnungen im Rahmen dieser Vereinbarungen die Packungsgrößenkennzeichen nach § 5 nicht angewendet werden.</w:t>
      </w:r>
    </w:p>
    <w:p>
      <w:r>
        <w:rPr>
          <w:color w:val="555555"/>
          <w:sz w:val="17"/>
        </w:rPr>
        <w:t xml:space="preserve">Zitiervorschlag: § 4 PackungsV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https://recht.nulegal.eu/gesetze/PackungsV/4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