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PackungsV</w:t>
      </w:r>
    </w:p>
    <w:p>
      <w:r>
        <w:rPr>
          <w:color w:val="555555"/>
          <w:sz w:val="18"/>
        </w:rPr>
        <w:t xml:space="preserve">Packungsgrößenverordnung</w:t>
      </w:r>
    </w:p>
    <w:p>
      <w:r>
        <w:rPr>
          <w:color w:val="555555"/>
          <w:sz w:val="18"/>
        </w:rPr>
        <w:t xml:space="preserve">Stand: 10.06.2019 (konsolidierte Textfassung, kein amtliches Inkrafttretensdatum)</w:t>
      </w:r>
    </w:p>
    <w:p>
      <w:r>
        <w:t xml:space="preserve">(1) Pharmazeutische Unternehmen haben für die von ihnen in Verkehr gebrachten Fertigarzneimittel die maßgeblichen Packungsgrößenkennzeichen im Rahmen der Meldung nach § 131 Absatz 4 des Fünften Buches Sozialgesetzbuch zu melden, sofern ein Packungsgrößenkennzeichen nach § 5 für dieses Arzneimittel bestimmt ist.</w:t>
      </w:r>
    </w:p>
    <w:p>
      <w:r>
        <w:t xml:space="preserve">(2) Für Kombinationspackungen nach § 1 Absatz 2 Satz 1 haben pharmazeutische Unternehmen die nach § 1 Absatz 2 Satz 2, 3 und 4 maßgeblichen Packungsgrößenkennzeichen im Rahmen der Meldung nach § 131 Absatz 4 des Fünften Buches Sozialgesetzbuch zu melden.</w:t>
      </w:r>
    </w:p>
    <w:p>
      <w:r>
        <w:t xml:space="preserve">(3) (weggefallen)</w:t>
      </w:r>
    </w:p>
    <w:p>
      <w:r>
        <w:t xml:space="preserve">(4) Packungen, deren Inhalte die jeweils größte der auf Grund dieser Verordnung bezeichneten Packungsgröße übersteigen, dürfen nicht zu Lasten der gesetzlichen Krankenversicherung abgegeben werden.</w:t>
      </w:r>
    </w:p>
    <w:p>
      <w:r>
        <w:t xml:space="preserve">(5) Pharmazeutische Unternehmer können Packungen eines Arzneimittels auf der äußeren Umhüllung nur mit einem Packungsgrößenkennzeichen bedrucken, das nach § 5 für dieses Arzneimittel bestimmt ist. Eine Kennzeichnung nach Satz 1 ist unzulässig, wenn nach § 5 kein Packungsgrößenkennzeichen für diese Arzneimittel bestimmt ist. Nach Änderungen oder Aufhebungen von Messzahlen für Packungsgrößenkennzeichen oder sonstigen Änderungen der Zuordnung von Packungsgrößenkennzeichen können pharmazeutische Unternehmer Packungen mit ungültig gewordenen Packungsgrößenkennzeichen auf der äußeren Umhüllung spätestens bis zum Ablauf von 18 Monaten nach Bekanntmachung der jeweiligen Änderung gemäß § 5 in Verkehr bringen. Die Verpflichtung zur Meldung des Packungsgrößenkennzeichens nach Satz 1 auf Grund § 131 Absatz 4 des Fünften Buches Sozialgesetzbuch bleibt unberührt.</w:t>
      </w:r>
    </w:p>
    <w:p>
      <w:r>
        <w:t xml:space="preserve">(6) Packungen, die grundsätzlich von der Leistungspflicht der gesetzlichen Krankenversicherung ausgeschlossen sind, dürfen nicht nach den Vorschriften dieser Verordnung gekennzeichnet werden.</w:t>
      </w:r>
    </w:p>
    <w:p>
      <w:r>
        <w:rPr>
          <w:color w:val="555555"/>
          <w:sz w:val="17"/>
        </w:rPr>
        <w:t xml:space="preserve">Zitiervorschlag: § 2 PackungsV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https://recht.nulegal.eu/gesetze/PackungsV/2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