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PaßG 1986 — Befreiung von der Passpflicht; Verordnungsermächtigung</w:t>
      </w:r>
    </w:p>
    <w:p>
      <w:r>
        <w:rPr>
          <w:color w:val="555555"/>
          <w:sz w:val="18"/>
        </w:rPr>
        <w:t xml:space="preserve">Passgesetz</w:t>
      </w:r>
    </w:p>
    <w:p>
      <w:r>
        <w:rPr>
          <w:color w:val="555555"/>
          <w:sz w:val="18"/>
        </w:rPr>
        <w:t xml:space="preserve">Stand: 13.03.2024 (konsolidierte Textfassung, kein amtliches Inkrafttretensdatum)</w:t>
      </w:r>
    </w:p>
    <w:p>
      <w:r>
        <w:t xml:space="preserve">(1) Das Bundesministerium des Innern und für Heimat kann durch Rechtsverordnung mit Zustimmung des Bundesrates</w:t>
      </w:r>
    </w:p>
    <w:p>
      <w:pPr>
        <w:ind w:left="420"/>
      </w:pPr>
      <w:r>
        <w:t xml:space="preserve">1. Deutsche zur Erleichterung des Grenzübertritts in besonderen Fällen sowie im Verkehr mit einzelnen ausländischen Staaten von der Passpflicht befreien,</w:t>
      </w:r>
    </w:p>
    <w:p>
      <w:pPr>
        <w:ind w:left="420"/>
      </w:pPr>
      <w:r>
        <w:t xml:space="preserve">2. andere amtliche Ausweise als Passersatz einführen oder zulassen.</w:t>
      </w:r>
    </w:p>
    <w:p>
      <w:r>
        <w:t xml:space="preserve">(2) Die für die polizeiliche Kontrolle des grenzüberschreitenden Verkehrs zuständigen Behörden können in Einzelfällen, insbesondere aus humanitären Gründen, Ausnahmen von der Passpflicht zulassen.</w:t>
      </w:r>
    </w:p>
    <w:p>
      <w:r>
        <w:rPr>
          <w:color w:val="555555"/>
          <w:sz w:val="17"/>
        </w:rPr>
        <w:t xml:space="preserve">Zitiervorschlag: § 2 PaßG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https://recht.nulegal.eu/gesetze/Pa%C3%9FG%201986/2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