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PaßG 1986 — Sicherstellung</w:t>
      </w:r>
    </w:p>
    <w:p>
      <w:r>
        <w:rPr>
          <w:color w:val="555555"/>
          <w:sz w:val="18"/>
        </w:rPr>
        <w:t xml:space="preserve">Passgesetz</w:t>
      </w:r>
    </w:p>
    <w:p>
      <w:r>
        <w:rPr>
          <w:color w:val="555555"/>
          <w:sz w:val="18"/>
        </w:rPr>
        <w:t xml:space="preserve">Stand: 13.03.2024 (konsolidierte Textfassung, kein amtliches Inkrafttretensdatum)</w:t>
      </w:r>
    </w:p>
    <w:p>
      <w:r>
        <w:t xml:space="preserve">(1) Ein Pass oder ein ausschließlich als Passersatz bestimmter amtlicher Ausweis kann sichergestellt werden, wenn</w:t>
      </w:r>
    </w:p>
    <w:p>
      <w:pPr>
        <w:ind w:left="420"/>
      </w:pPr>
      <w:r>
        <w:t xml:space="preserve">1. eine Person ihn unberechtigt besitzt;</w:t>
      </w:r>
    </w:p>
    <w:p>
      <w:pPr>
        <w:ind w:left="420"/>
      </w:pPr>
      <w:r>
        <w:t xml:space="preserve">2. Tatsachen die Annahme rechtfertigen, dass gegen den Inhaber Passversagungsgründe nach § 7 Absatz 1 vorliegen;</w:t>
      </w:r>
    </w:p>
    <w:p>
      <w:pPr>
        <w:ind w:left="420"/>
      </w:pPr>
      <w:r>
        <w:t xml:space="preserve">3. Tatsachen die Annahme rechtfertigen, dass ein Einziehungsgrund nach § 12 vorliegt.</w:t>
      </w:r>
    </w:p>
    <w:p>
      <w:r>
        <w:t xml:space="preserve">(2) Eine Sicherstellung ist schriftlich zu bestätigen.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13 PaßG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https://recht.nulegal.eu/gesetze/Pa%C3%9FG%201986/13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