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PWMAusbV — (zu § 23 Absatz 2) Ausbildungsrahmenplan für die Zusatzqualifikation Messer schmieden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2018, 1204)</w:t>
      </w:r>
    </w:p>
    <w:p>
      <w:r>
        <w:rPr>
          <w:rFonts w:ascii="Courier New" w:hAnsi="Courier New"/>
          <w:sz w:val="17"/>
        </w:rPr>
        <w:t xml:space="preserve">Lfd. Nr.    Teil der Zusatzqualifikation    Zu vermittelnde Fertigkeiten, Kenntnisse und Fähigkeiten    Zeitliche Richtwerte in Wochen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Schmiedefeuerstelle einrichten    a)Schmiedefeuerarten unterscheidenb)Brennstoffe und Flussmittel unterscheiden, auswählen und aufgabenbezogen bereitstellenc)Schmiedefeuerstelle prüfen und Einsatzbereitschaft herstellend)Lederschutzbekleidung anlegene)Schmiedefeuer entzünden, schüren und führen    6</w:t>
      </w:r>
    </w:p>
    <w:p>
      <w:r>
        <w:rPr>
          <w:rFonts w:ascii="Courier New" w:hAnsi="Courier New"/>
          <w:sz w:val="17"/>
        </w:rPr>
        <w:t xml:space="preserve">2    Freiformschmieden und Wärmebehandlung    a)Werkzeuge, insbesondere Zangen, Hämmer und Meißel, bereitstellenb)Schmiederohlängen berechnenc)schmiedbare Werkstoffe, insbesondere legierte und hochlegierte Stähle, für Schneidwerkzeuge auswählen und im Schmiedefeuer erwärmend)Schmiedetemperaturen mittels Glühfarben unterscheidene)Schmiedestück anspitzen, flach-, vierkant- und rundschmieden und absetzen sowie Spaltlochung herstellenf)Schneidwerkzeugrohlinge durch Freiformschmieden herstelleng)Härteverfahren Stählen zuordnenh)Anlasstemperaturen mittels Anlassfarben unterscheideni)Schneidwerkzeuge aus niedrig- und hochlegierten Stählen glühen, härten und anlassenj)Schneidwerkzeuge durch Feil-, Klang- und Funkenprobe härteprüfen</w:t>
      </w:r>
    </w:p>
    <w:p>
      <w:r>
        <w:rPr>
          <w:color w:val="555555"/>
          <w:sz w:val="17"/>
        </w:rPr>
        <w:t xml:space="preserve">Zitiervorschlag: Anlage 2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