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PWMAusbV — Staatliche Anerkennung des Ausbildungsberufes</w:t>
      </w:r>
    </w:p>
    <w:p>
      <w:r>
        <w:rPr>
          <w:color w:val="555555"/>
          <w:sz w:val="18"/>
        </w:rPr>
        <w:t xml:space="preserve">Präzisionswerkzeugmechanikerausbildungsverordnung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Präzisionswerkzeugmechanikers und der Präzisionswerkzeugmechanikerin wird nach § 25 der Handwerksordnung zur Ausbildung für das Gewerbe nach Anlage B Abschnitt 1 Nummer 10 „Schneidwerkzeugmechaniker“ der Handwerksordnung staatlich anerkannt.</w:t>
      </w:r>
    </w:p>
    <w:p>
      <w:r>
        <w:rPr>
          <w:color w:val="555555"/>
          <w:sz w:val="17"/>
        </w:rPr>
        <w:t xml:space="preserve">Zitiervorschlag: § 1 PWMAusbV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https://recht.nulegal.eu/gesetze/PWMAusbV/1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