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PVFVO (Nordrhein-Westfalen) — Evaluation</w:t>
      </w:r>
    </w:p>
    <w:p>
      <w:r>
        <w:rPr>
          <w:color w:val="555555"/>
          <w:sz w:val="18"/>
        </w:rPr>
        <w:t xml:space="preserve">Photovoltaik-Freiflächenverordnung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für Energie, Landwirtschaft und Naturschutz zuständigen Ministerien legen bis zum 31. Dezember 2024 einen Evaluationsbericht zu dieser Verordnung vor, um deren Auswirkungen zu erfassen, etwaigen negativen Auswirkungen entgegenzuwirken und bei positiven Gesamtergebnissen die länderspezifische Zuschlagsgrenze gemäß § 2 Absatz 2 zu erhöhen.</w:t>
      </w:r>
    </w:p>
    <w:p>
      <w:r>
        <w:rPr>
          <w:color w:val="555555"/>
          <w:sz w:val="17"/>
        </w:rPr>
        <w:t xml:space="preserve">Zitiervorschlag: § 3 PVFVO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https://recht.nulegal.eu/gesetze/PVFVO/3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