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PVAufhAnO</w:t>
      </w:r>
    </w:p>
    <w:p>
      <w:r>
        <w:rPr>
          <w:color w:val="555555"/>
          <w:sz w:val="18"/>
        </w:rPr>
        <w:t xml:space="preserve">Anordnung über die Aufhebung von Rechtsvorschriften auf dem Gebiet der freiwilligen Personenversicherungen der Bürger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bestehenden Verträge zu freiwilligen Personenversicherungen der Bürger werden auf der Grundlage der bisherigen Versicherungsbedingungen und Tarife mit den in Absatz 2 getroffenen Festlegungen weitergeführt.</w:t>
      </w:r>
    </w:p>
    <w:p>
      <w:r>
        <w:t xml:space="preserve">(2) Sofern Personenversicherungen Unfallversicherungsschutz gewähren, sind Unfälle, die unmittelbar oder mittelbar durch Kernenergie, Kriegs- oder Bürgerkriegsereignisse oder durch innere Unruhen verursacht werden, vom Versicherungsschutz ausgeschlossen. Unfälle durch innere Unruhe sind jedoch dann versichert, wenn der Versicherte nicht auf seiten der Unruhestifter teilgenommen hat.</w:t>
      </w:r>
    </w:p>
    <w:p>
      <w:r>
        <w:rPr>
          <w:color w:val="555555"/>
          <w:sz w:val="17"/>
        </w:rPr>
        <w:t xml:space="preserve">Zitiervorschlag: § 2 PVAufhAnO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https://recht.nulegal.eu/gesetze/PVAufhAnO/2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