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PUDLV</w:t>
      </w:r>
    </w:p>
    <w:p>
      <w:r>
        <w:rPr>
          <w:color w:val="555555"/>
          <w:sz w:val="18"/>
        </w:rPr>
        <w:t xml:space="preserve">Post-Universaldienstleistungsverordnung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Auf Grund des § 11 Abs. 2 des Postgesetzes vom 22. Dezember 1997 (BGBl. I S. 3294) verordnet die Bundesregierung unter Wahrung der Rechte des Bundestages:</w:t>
      </w:r>
    </w:p>
    <w:p>
      <w:r>
        <w:rPr>
          <w:color w:val="555555"/>
          <w:sz w:val="17"/>
        </w:rPr>
        <w:t xml:space="preserve">Zitiervorschlag: Eingangsformel PUDLV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https://recht.nulegal.eu/gesetze/PUDLV/eingangsformel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