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PUDLV — Qualitätsmerkmale der Beförderung von Zeitungen und Zeitschriften</w:t>
      </w:r>
    </w:p>
    <w:p>
      <w:r>
        <w:rPr>
          <w:color w:val="555555"/>
          <w:sz w:val="18"/>
        </w:rPr>
        <w:t xml:space="preserve">Post-Universaldienstleistungsverordnung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Zeitungen und Zeitschriften sind im Rahmen des betrieblich Zumutbaren bedarfsgerecht zu befördern. § 2 Nr. 4 und 5 gilt entsprechend.</w:t>
      </w:r>
    </w:p>
    <w:p>
      <w:r>
        <w:rPr>
          <w:color w:val="555555"/>
          <w:sz w:val="17"/>
        </w:rPr>
        <w:t xml:space="preserve">Zitiervorschlag: § 4 PUDLV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https://recht.nulegal.eu/gesetze/PUDLV/4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