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PUDLV — Qualitätsmerkmale der Paketbeförderung</w:t>
      </w:r>
    </w:p>
    <w:p>
      <w:r>
        <w:rPr>
          <w:color w:val="555555"/>
          <w:sz w:val="18"/>
        </w:rPr>
        <w:t xml:space="preserve">Post-Universaldienstleistungsverordnung</w:t>
      </w:r>
    </w:p>
    <w:p>
      <w:r>
        <w:rPr>
          <w:color w:val="555555"/>
          <w:sz w:val="18"/>
        </w:rPr>
        <w:t xml:space="preserve">Historische Fassung: Stand 10.06.2019 bis 19.07.2024. Dies ist nicht die aktuelle Fassung.</w:t>
      </w:r>
    </w:p>
    <w:p>
      <w:r>
        <w:t xml:space="preserve">Für den Universaldienst im Bereich der Paketdienstleistungen gelten die folgenden Qualitätsmerkmale:</w:t>
      </w:r>
    </w:p>
    <w:p>
      <w:pPr>
        <w:ind w:left="420"/>
      </w:pPr>
      <w:r>
        <w:t xml:space="preserve">1. Für die Bereitstellung von Einrichtungen, in denen Verträge über Paketbeförderungsleistungen abgeschlossen und abgewickelt werden können, gelten die Bestimmungen des § 2 Nr. 1.</w:t>
      </w:r>
    </w:p>
    <w:p>
      <w:pPr>
        <w:ind w:left="420"/>
      </w:pPr>
      <w:r>
        <w:t xml:space="preserve">2. Von den an einem Werktag eingelieferten inländischen Paketen müssen im Jahresdurchschnitt mindestens 80 vom Hundert bis zum zweiten auf den Einlieferungstag folgenden Werktag ausgeliefert werden. Im grenzüberschreitenden Paketverkehr mit Mitgliedstaaten der Europäischen Union gelten die im Anhang der Richtlinie 97/67/EG des Europäischen Parlaments und des Rates vom 15. Dezember 1997 über gemeinsame Vorschriften für die Entwicklung des Binnenmarktes der Postdienste der Gemeinschaft und die Verbesserung der Dienstequalität (ABl. EG 1998 Nr. L 15 S. 14) festgelegten Qualitätsmerkmale. § 2 Nr. 3 Satz 3 gilt entsprechend.</w:t>
      </w:r>
    </w:p>
    <w:p>
      <w:pPr>
        <w:ind w:left="420"/>
      </w:pPr>
      <w:r>
        <w:t xml:space="preserve">3. Pakete sind zuzustellen, sofern der Empfänger nicht erklärt hat, dass er die Sendungen abholen will. Die Zustellung hat an der in der Anschrift genannten Wohn- oder Geschäftsadresse durch persönliche Aushändigung an den Empfänger oder einen Ersatzempfänger zu erfolgen, soweit keine gegenteilige Weisung des Absenders oder Empfängers vorliegt.</w:t>
      </w:r>
    </w:p>
    <w:p>
      <w:pPr>
        <w:ind w:left="420"/>
      </w:pPr>
      <w:r>
        <w:t xml:space="preserve">4. Die Zustellung hat mindestens einmal werktäglich zu erfolgen.</w:t>
      </w:r>
    </w:p>
    <w:p>
      <w:r>
        <w:rPr>
          <w:color w:val="555555"/>
          <w:sz w:val="17"/>
        </w:rPr>
        <w:t xml:space="preserve">Zitiervorschlag: § 3 PUDLV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https://recht.nulegal.eu/gesetze/PUDLV/3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