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PUAG — Einberufung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Der oder die Vorsitzende beruft den Untersuchungsausschuss unter Angabe der Tagesordnung ein.</w:t>
      </w:r>
    </w:p>
    <w:p>
      <w:r>
        <w:t xml:space="preserve">(2) Er oder sie ist zur Einberufung einer Sitzung zum nächstmöglichen Termin innerhalb des Zeitplanes verpflichtet, wenn dies von einem Viertel der Mitglieder des Untersuchungsausschusses unter Angabe der Tagesordnung verlangt wird.</w:t>
      </w:r>
    </w:p>
    <w:p>
      <w:r>
        <w:t xml:space="preserve">(3) Zur Einberufung einer Sitzung außerhalb des Zeitplanes oder außerhalb des ständigen Sitzungsortes des Bundestages ist der oder die Vorsitzende nur berechtigt, wenn ein entsprechendes Verlangen eines Viertels der Mitglieder des Untersuchungsausschusses unter Angabe der Tagesordnung vorliegt und der Präsident oder die Präsidentin des Bundestages hierzu die Genehmigung erteilt hat.</w:t>
      </w:r>
    </w:p>
    <w:p>
      <w:r>
        <w:rPr>
          <w:color w:val="555555"/>
          <w:sz w:val="17"/>
        </w:rPr>
        <w:t xml:space="preserve">Zitiervorschlag: § 8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