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PUAG — Verlesung von Protokollen und Schriftstücken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Protokolle über Untersuchungshandlungen von anderen Untersuchungsausschüssen, Gerichten und Behörden sowie Schriftstücke, die als Beweismittel dienen, sind vor dem Untersuchungsausschuss zu verlesen.</w:t>
      </w:r>
    </w:p>
    <w:p>
      <w:r>
        <w:t xml:space="preserve">(2) Der Untersuchungsausschuss kann beschließen, von einer Verlesung Abstand zu nehmen, wenn die Protokolle oder Schriftstücke allen Mitgliedern des Untersuchungsausschusses zugänglich gemacht worden sind.</w:t>
      </w:r>
    </w:p>
    <w:p>
      <w:r>
        <w:t xml:space="preserve">(3) Eine Verlesung der Protokolle und Schriftstücke oder die Bekanntgabe ihres wesentlichen Inhalts in öffentlicher Sitzung findet nicht statt, wenn die Voraussetzungen des § 14 Abs. 1 vorliegen.</w:t>
      </w:r>
    </w:p>
    <w:p>
      <w:r>
        <w:rPr>
          <w:color w:val="555555"/>
          <w:sz w:val="17"/>
        </w:rPr>
        <w:t xml:space="preserve">Zitiervorschlag: § 31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https://recht.nulegal.eu/gesetze/PUAG/31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