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PUAG — Verfahren bei der Vorlage von Beweismitteln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Wenn die Person, die den Gewahrsam hat, einwendet, verlangte Beweismittel seien für die Untersuchung nicht bedeutsam oder beträfen ein in § 14 Abs. 1 Nr. 1 bis 4 bezeichnetes Geheimnis, so dürfen die in § 29 Abs. 2 bestimmten Ordnungs- und Zwangsmittel und die in § 29 Abs. 3 Satz 1 bezeichnete Herausgabe nur dann angeordnet werden, wenn das Beweismittel keine Informationen enthält, deren Weitergabe wegen ihres streng vertraulichen Charakters für die Betroffenen unzumutbar ist, und der Untersuchungsausschuss für dieses Beweismittel den Geheimhaltungsgrad GEHEIM beschlossen hat.</w:t>
      </w:r>
    </w:p>
    <w:p>
      <w:r>
        <w:t xml:space="preserve">(2) Die Durchsicht und die Prüfung der Beweiserheblichkeit der vorgelegten Beweismittel steht dem Untersuchungsausschuss zu. Beweismittel, die sich nach einmütiger Auffassung des Untersuchungsausschusses für die Untersuchung als unerheblich erweisen, sind der Person, die den Gewahrsam hatte, unverzüglich zurückzugeben.</w:t>
      </w:r>
    </w:p>
    <w:p>
      <w:r>
        <w:t xml:space="preserve">(3) Nach Durchsicht und Prüfung der in Absatz 1 bezeichneten Beweismittel kann der Untersuchungsausschuss die Aufhebung der Einstufung in den Geheimhaltungsgrad GEHEIM beschließen, soweit die Beweismittel für die Untersuchung erheblich sind. Betreffen sie ein in § 14 Abs. 1 Nr. 1 bis 4 bezeichnetes Geheimnis, so darf der Untersuchungsausschuss den Beschluss nach Satz 1 nur dann fassen, wenn ihre öffentliche Verwendung zur Erfüllung des Untersuchungsauftrages unerlässlich und nicht unverhältnismäßig ist.</w:t>
      </w:r>
    </w:p>
    <w:p>
      <w:r>
        <w:t xml:space="preserve">(4) Vor der Beschlussfassung nach Absatz 3 Satz 1 ist die Person, die über das Beweismittel verfügungsberechtigt ist, zu hören. Widerspricht sie der Aufhebung des Geheimhaltungsgrades GEHEIM, so hat die Aufhebung zu unterbleiben, wenn nicht der Ermittlungsrichter oder die Ermittlungsrichterin des Bundesgerichtshofes auf Antrag des Untersuchungsausschusses oder eines Viertels seiner Mitglieder sie für zulässig erklärt.</w:t>
      </w:r>
    </w:p>
    <w:p>
      <w:r>
        <w:rPr>
          <w:color w:val="555555"/>
          <w:sz w:val="17"/>
        </w:rPr>
        <w:t xml:space="preserve">Zitiervorschlag: § 30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