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PUAG — Sachverständige</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Auf Sachverständige sind die Vorschriften der §§ 20, 22 bis 26 entsprechend anzuwenden, soweit nicht nachfolgend abweichende Regelungen getroffen sind.</w:t>
      </w:r>
    </w:p>
    <w:p>
      <w:r>
        <w:t xml:space="preserve">(2) Die Auswahl der zuzuziehenden Sachverständigen erfolgt durch den Untersuchungsausschuss; § 74 der Strafprozessordnung findet keine Anwendung.</w:t>
      </w:r>
    </w:p>
    <w:p>
      <w:r>
        <w:t xml:space="preserve">(3) Der Untersuchungsausschuss soll mit Sachverständigen eine Absprache treffen, innerhalb welcher Frist das Gutachten erstellt wird.</w:t>
      </w:r>
    </w:p>
    <w:p>
      <w:r>
        <w:t xml:space="preserve">(4) Sachverständige haben das Gutachten innerhalb der vereinbarten Frist unparteiisch, vollständig und wahrheitsgemäß zu erstatten. Auf Verlangen des Untersuchungsausschusses ist das Gutachten schriftlich zu erstellen und mündlich näher zu erläutern.</w:t>
      </w:r>
    </w:p>
    <w:p>
      <w:r>
        <w:t xml:space="preserve">(5) Die Vorschriften des § 76 der Strafprozessordnung über das Gutachtensverweigerungsrecht sind entsprechend anzuwenden.</w:t>
      </w:r>
    </w:p>
    <w:p>
      <w:r>
        <w:t xml:space="preserve">(6) Weigern sich die zur Erstattung des Gutachtens verpflichteten Sachverständigen, nach Absatz 3 eine angemessene Frist abzusprechen, oder versäumen sie die abgesprochene Frist, so kann der Untersuchungsausschuss gegen sie ein Ordnungsgeld bis zu 10.000 Euro festsetzen. Dasselbe gilt, wenn die ordnungsgemäß geladenen Sachverständigen nicht erscheinen oder sich weigern, ihr Gutachten zu erstatten oder zu erläutern; in diesen Fällen kann der Untersuchungsausschuss zugleich den Sachverständigen die durch ihre Säumnis oder Weigerung verursachten Kosten auferlegen. § 21 Abs. 2 gilt entsprechend.</w:t>
      </w:r>
    </w:p>
    <w:p>
      <w:r>
        <w:rPr>
          <w:color w:val="555555"/>
          <w:sz w:val="17"/>
        </w:rPr>
        <w:t xml:space="preserve">Zitiervorschlag: § 28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