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PUAG — Vernehmung von Amtsträgern</w:t>
      </w:r>
    </w:p>
    <w:p>
      <w:r>
        <w:rPr>
          <w:color w:val="555555"/>
          <w:sz w:val="18"/>
        </w:rPr>
        <w:t xml:space="preserve">Untersuchungsausschussgesetz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§ 54 der Strafprozessordnung ist anzuwenden.</w:t>
      </w:r>
    </w:p>
    <w:p>
      <w:r>
        <w:t xml:space="preserve">(2) Die Bundesregierung ist verpflichtet, die erforderlichen Aussagegenehmigungen zu erteilen; § 18 Abs. 1 bis 3 erster Halbsatz gilt entsprechend.</w:t>
      </w:r>
    </w:p>
    <w:p>
      <w:r>
        <w:rPr>
          <w:color w:val="555555"/>
          <w:sz w:val="17"/>
        </w:rPr>
        <w:t xml:space="preserve">Zitiervorschlag: § 23 PUAG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https://recht.nulegal.eu/gesetze/PUAG/23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