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PUAG — Zugang zu Verschlusssachen und Amtsverschwiegenheit</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Verschlusssachen des Geheimhaltungsgrades VS-VERTRAULICH und höher, die der Untersuchungsausschuss eingestuft oder von einer anderen herausgebenden Stelle erhalten hat, dürfen nur den Mitgliedern des Untersuchungsausschusses, den Mitgliedern des Bundesrates und der Bundesregierung sowie ihren Beauftragten zugänglich gemacht werden. Ermittlungsbeauftragten, den von ihnen eingesetzten Hilfskräften sowie den Mitarbeitern und Mitarbeiterinnen der Mitglieder des Untersuchungsausschusses, des Sekretariats und der Fraktionen im Untersuchungsausschuss dürfen sie zugänglich gemacht werden, soweit diese zum Umgang mit Verschlusssachen ermächtigt und zur Geheimhaltung förmlich verpflichtet sind.</w:t>
      </w:r>
    </w:p>
    <w:p>
      <w:r>
        <w:t xml:space="preserve">(2) Die Mitglieder des Untersuchungsausschusses, Ermittlungsbeauftragte und die in Absatz 1 bezeichneten Mitarbeiter und Mitarbeiterinnen und Hilfskräfte sind auch nach Auflösung des Ausschusses verpflichtet, über die ihnen bekannt gewordenen, in Absatz 1 bezeichneten Verschlusssachen Verschwiegenheit zu bewahren. Ohne Genehmigung des Präsidenten oder der Präsidentin des Bundestages dürfen sie weder vor Gericht noch außergerichtlich aussagen. § 44c Abs. 2 Satz 2 und Abs. 3 des Abgeordnetengesetzes gilt entsprechend.</w:t>
      </w:r>
    </w:p>
    <w:p>
      <w:r>
        <w:t xml:space="preserve">(3) Wird einem Mitglied des Ausschusses ein fremdes Geheimnis, namentlich ein zum persönlichen Lebensbereich gehörendes Geheimnis oder ein Betriebs- oder Geschäftsgeheimnis im Rahmen der Untersuchungshandlung bekannt, darf es dieses Geheimnis nur offenbaren, wenn es dazu von der berechtigten Person ermächtigt worden ist. Dies gilt nicht, wenn die Offenlegung des Geheimnisses gesetzlich geboten ist.</w:t>
      </w:r>
    </w:p>
    <w:p>
      <w:r>
        <w:rPr>
          <w:color w:val="555555"/>
          <w:sz w:val="17"/>
        </w:rPr>
        <w:t xml:space="preserve">Zitiervorschlag: § 16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