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PUAG — Geheimnisschutz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Beweismittel, Beweiserhebungen und Beratungen kann der Untersuchungsausschuss mit einem Geheimhaltungsgrad versehen. Vor einer Entscheidung nach Satz 1 kann der oder die Vorsitzende eine vorläufige Einstufung vornehmen.</w:t>
      </w:r>
    </w:p>
    <w:p>
      <w:r>
        <w:t xml:space="preserve">(2) Die Entscheidung über die Einstufung richtet sich nach der Geheimschutzordnung des Bundestages. § 14 Abs. 3 ist entsprechend anzuwenden.</w:t>
      </w:r>
    </w:p>
    <w:p>
      <w:r>
        <w:t xml:space="preserve">(3) Soweit dieses Gesetz nichts Abweichendes bestimmt, gilt für die Behandlung der Verschlusssachen sowie für streng geheime, geheime und vertrauliche Sitzungen und deren Protokollierung die Geheimschutzordnung des Bundestages.</w:t>
      </w:r>
    </w:p>
    <w:p>
      <w:r>
        <w:rPr>
          <w:color w:val="555555"/>
          <w:sz w:val="17"/>
        </w:rPr>
        <w:t xml:space="preserve">Zitiervorschlag: § 15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