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PUAG — Einsetzung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Bundestag hat das Recht und auf Antrag eines Viertels seiner Mitglieder die Pflicht, einen Untersuchungsausschuss einzusetzen.</w:t>
      </w:r>
    </w:p>
    <w:p>
      <w:r>
        <w:t xml:space="preserve">(2) Die Einsetzung erfolgt durch Beschluss des Bundestages.</w:t>
      </w:r>
    </w:p>
    <w:p>
      <w:r>
        <w:t xml:space="preserve">(3) Ein Untersuchungsverfahren ist zulässig im Rahmen der verfassungsmäßigen Zuständigkeit des Bundestages.</w:t>
      </w:r>
    </w:p>
    <w:p>
      <w:r>
        <w:rPr>
          <w:color w:val="555555"/>
          <w:sz w:val="17"/>
        </w:rPr>
        <w:t xml:space="preserve">Zitiervorschlag: § 1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https://recht.nulegal.eu/gesetze/PUAG/1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