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PTStiftG — Kurator</w:t>
      </w:r>
    </w:p>
    <w:p>
      <w:r>
        <w:rPr>
          <w:color w:val="555555"/>
          <w:sz w:val="18"/>
        </w:rPr>
        <w:t xml:space="preserve">Gesetz zur Errichtung einer Museumsstiftung Post und Telekommunikation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hauptamtliche Kurator und sein ständiger Vertreter werden vom Bundesministerium der Finanzen auf Vorschlag des Kuratoriums ernannt.</w:t>
      </w:r>
    </w:p>
    <w:p>
      <w:r>
        <w:t xml:space="preserve">(2) Der Kurator und sein ständiger Vertreter können nicht Mitglieder des Kuratoriums oder deren Stellvertreter sein.</w:t>
      </w:r>
    </w:p>
    <w:p>
      <w:r>
        <w:t xml:space="preserve">(3) Gegenüber dem Kurator wird die Stiftung durch den Vorsitzenden des Kuratoriums vertreten.</w:t>
      </w:r>
    </w:p>
    <w:p>
      <w:r>
        <w:rPr>
          <w:color w:val="555555"/>
          <w:sz w:val="17"/>
        </w:rPr>
        <w:t xml:space="preserve">Zitiervorschlag: § 9 PTStiftG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https://recht.nulegal.eu/gesetze/PTStiftG/9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