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PTStiftG — Finanzierung</w:t>
      </w:r>
    </w:p>
    <w:p>
      <w:r>
        <w:rPr>
          <w:color w:val="555555"/>
          <w:sz w:val="18"/>
        </w:rPr>
        <w:t xml:space="preserve">Gesetz zur Errichtung einer Museumsstiftung Post und Telekommunikation</w:t>
      </w:r>
    </w:p>
    <w:p>
      <w:r>
        <w:rPr>
          <w:color w:val="555555"/>
          <w:sz w:val="18"/>
        </w:rPr>
        <w:t xml:space="preserve">Stand: 10.06.2019 (konsolidierte Textfassung, kein amtliches Inkrafttretensdatum)</w:t>
      </w:r>
    </w:p>
    <w:p>
      <w:r>
        <w:t xml:space="preserve">(1) Die Stiftung wird finanziert durch</w:t>
      </w:r>
    </w:p>
    <w:p>
      <w:pPr>
        <w:ind w:left="420"/>
      </w:pPr>
      <w:r>
        <w:t xml:space="preserve">1. Einnahmen aus Eintrittsgeldern, Zinsen, Mieten und sonstigen Erträgen und Erlösen,</w:t>
      </w:r>
    </w:p>
    <w:p>
      <w:pPr>
        <w:ind w:left="420"/>
      </w:pPr>
      <w:r>
        <w:t xml:space="preserve">2. Zuschüsse der aus den Teilsondervermögen der Deutschen Bundespost hervorgegangenen Aktiengesellschaften und</w:t>
      </w:r>
    </w:p>
    <w:p>
      <w:pPr>
        <w:ind w:left="420"/>
      </w:pPr>
      <w:r>
        <w:t xml:space="preserve">3. Zuschüsse Dritter.</w:t>
      </w:r>
    </w:p>
    <w:p>
      <w:r>
        <w:t xml:space="preserve">(2) Die Höhe des Zuschusses der Postnachfolgeunternehmen wird jährlich im voraus durch das Kuratorium festgesetzt. Der Zuschuß ist so zu bemessen, daß zusammen mit den sonstigen Einnahmen und Zuschüssen der Stiftungszweck erfüllt und der erforderliche Verwaltungsaufwand gedeckt werden kann. Sofern keine andere Regelung getroffen wird, tragen die Postnachfolgeunternehmen den jeweils auf sie entfallenden Zuschußanteil in dem Verhältnis ihrer Beteiligung im Kuratorium.</w:t>
      </w:r>
    </w:p>
    <w:p>
      <w:r>
        <w:t xml:space="preserve">(3) Sofern weitere Unternehmen oder Privatpersonen im Kuratorium vertreten sind, haben sich auch diese nach dem gleichen Maßstab an den jährlichen Zuschußzahlungen zu beteiligen. Dies gilt nicht für Kuratoriumsmitglieder aus dem Museumswesen.</w:t>
      </w:r>
    </w:p>
    <w:p>
      <w:r>
        <w:rPr>
          <w:color w:val="555555"/>
          <w:sz w:val="17"/>
        </w:rPr>
        <w:t xml:space="preserve">Zitiervorschlag: § 4 PTStiftG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