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PTStiftG — Stiftungszweck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der Stiftung ist die Erschließung, Sammlung und Darstellung der gesamten Entwicklung der Nachrichtenübermittlung und des damit im Zusammenhang stehenden Bank-, Güter- und Personenverkehrs im Post- und Fernmeldewesen.</w:t>
      </w:r>
    </w:p>
    <w:p>
      <w:r>
        <w:t xml:space="preserve">(2) Dazu gehört insbesondere die Aufgabe,</w:t>
      </w:r>
    </w:p>
    <w:p>
      <w:pPr>
        <w:ind w:left="420"/>
      </w:pPr>
      <w:r>
        <w:t xml:space="preserve">1. die ihr übertragenen Sammlungsgegenstände zu bewahren, zu pflegen, zu ergänzen und der Öffentlichkeit zu erschließen,</w:t>
      </w:r>
    </w:p>
    <w:p>
      <w:pPr>
        <w:ind w:left="420"/>
      </w:pPr>
      <w:r>
        <w:t xml:space="preserve">2. einen sinnvollen Zusammenhang dieser Sammlung zu erhalten,</w:t>
      </w:r>
    </w:p>
    <w:p>
      <w:pPr>
        <w:ind w:left="420"/>
      </w:pPr>
      <w:r>
        <w:t xml:space="preserve">3. die Auswertung der Sammlung für die Interessen der Allgemeinheit in Bildung und Wissenschaft sowie im Gesamtzusammenhang der Wirtschaftsgeschichte zu gewährleisten,</w:t>
      </w:r>
    </w:p>
    <w:p>
      <w:pPr>
        <w:ind w:left="420"/>
      </w:pPr>
      <w:r>
        <w:t xml:space="preserve">4. die Zusammenarbeit mit postgeschichtlich tätigen Vereinigungen zu pflegen sowie</w:t>
      </w:r>
    </w:p>
    <w:p>
      <w:pPr>
        <w:ind w:left="420"/>
      </w:pPr>
      <w:r>
        <w:t xml:space="preserve">5. mit Museen und Stiftungen gleicher Zielrichtung national und international zusammenzuarbeiten.</w:t>
      </w:r>
    </w:p>
    <w:p>
      <w:r>
        <w:rPr>
          <w:color w:val="555555"/>
          <w:sz w:val="17"/>
        </w:rPr>
        <w:t xml:space="preserve">Zitiervorschlag: § 2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