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PTStiftG — Haushaltsplan, Rechnungsprüfung</w:t>
      </w:r>
    </w:p>
    <w:p>
      <w:r>
        <w:rPr>
          <w:color w:val="555555"/>
          <w:sz w:val="18"/>
        </w:rPr>
        <w:t xml:space="preserve">Gesetz zur Errichtung einer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Haushalts-, Kassen- und Rechnungswesen sowie für die Rechnungslegung der Stiftung finden die für die Bundesverwaltung geltenden Bestimmungen entsprechende Anwendung.</w:t>
      </w:r>
    </w:p>
    <w:p>
      <w:r>
        <w:t xml:space="preserve">(2) Die Stiftung hat rechtzeitig vor Beginn eines jeden Haushaltsjahres einen Haushaltsplan aufzustellen.</w:t>
      </w:r>
    </w:p>
    <w:p>
      <w:r>
        <w:t xml:space="preserve">(3) Der vom Kuratorium festgestellte Haushaltsplan bedarf der Genehmigung durch das Bundesministerium der Finanzen.</w:t>
      </w:r>
    </w:p>
    <w:p>
      <w:r>
        <w:t xml:space="preserve">(4) Das Nähere regelt die Satzung.</w:t>
      </w:r>
    </w:p>
    <w:p>
      <w:r>
        <w:rPr>
          <w:color w:val="555555"/>
          <w:sz w:val="17"/>
        </w:rPr>
        <w:t xml:space="preserve">Zitiervorschlag: § 12 PTStiftG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