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PTStiftG — Aufgaben des Kurators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Kurator hat die Beschlüsse des Kuratoriums auszuführen und die laufenden Angelegenheiten der Stiftung wahrzunehmen. Das Nähere, insbesondere die Aufgabenabgrenzung zwischen dem Kurator und den Museumsleitern, regelt die Satzung.</w:t>
      </w:r>
    </w:p>
    <w:p>
      <w:r>
        <w:t xml:space="preserve">(2) Der Kurator vertritt die Stiftung gerichtlich und außergerichtlich.</w:t>
      </w:r>
    </w:p>
    <w:p>
      <w:r>
        <w:rPr>
          <w:color w:val="555555"/>
          <w:sz w:val="17"/>
        </w:rPr>
        <w:t xml:space="preserve">Zitiervorschlag: § 10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