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PTStiftG — Rechtsform der Stiftung</w:t>
      </w:r>
    </w:p>
    <w:p>
      <w:r>
        <w:rPr>
          <w:color w:val="555555"/>
          <w:sz w:val="18"/>
        </w:rPr>
        <w:t xml:space="preserve">Gesetz zur Errichtung einer Museumsstiftung Post und Telekommunikation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Unter dem Namen "Museumsstiftung Post und Telekommunikation" wird mit Sitz in Bonn eine rechtsfähige Stiftung des öffentlichen Rechts errichtet. Die Stiftung entsteht mit dem Inkrafttreten dieses Gesetzes.</w:t>
      </w:r>
    </w:p>
    <w:p>
      <w:r>
        <w:rPr>
          <w:color w:val="555555"/>
          <w:sz w:val="17"/>
        </w:rPr>
        <w:t xml:space="preserve">Zitiervorschlag: § 1 PTStiftG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https://recht.nulegal.eu/gesetze/PTStiftG/1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