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II. PTStiftErnAnO</w:t>
      </w:r>
    </w:p>
    <w:p>
      <w:r>
        <w:rPr>
          <w:color w:val="555555"/>
          <w:sz w:val="18"/>
        </w:rPr>
        <w:t xml:space="preserve">Anordnung zur Übertragung des Rechtes zur Ernennung und Entlassung der Beamten der Museumsstiftung Post und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tritt am 1. Januar 1998 in Kraft.</w:t>
      </w:r>
    </w:p>
    <w:p>
      <w:r>
        <w:rPr>
          <w:color w:val="555555"/>
          <w:sz w:val="17"/>
        </w:rPr>
        <w:t xml:space="preserve">Zitiervorschlag: II. PTStiftErnAnO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https://recht.nulegal.eu/gesetze/PTStiftErnAnO/ii.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II. PTStiftErnAnO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