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PTBBGebV — Inkrafttreten</w:t>
      </w:r>
    </w:p>
    <w:p>
      <w:r>
        <w:rPr>
          <w:color w:val="555555"/>
          <w:sz w:val="18"/>
        </w:rPr>
        <w:t xml:space="preserve">PTB Besondere Gebührenverordnung</w:t>
      </w:r>
    </w:p>
    <w:p>
      <w:r>
        <w:rPr>
          <w:color w:val="555555"/>
          <w:sz w:val="18"/>
        </w:rPr>
        <w:t xml:space="preserve">Stand: 15.06.2021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4 PTBBGebV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https://recht.nulegal.eu/gesetze/PTBBGebV/4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