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PTBAKostO — Beschleunigt erbrachte Nutzleistungen</w:t>
      </w:r>
    </w:p>
    <w:p>
      <w:r>
        <w:rPr>
          <w:color w:val="555555"/>
          <w:sz w:val="18"/>
        </w:rPr>
        <w:t xml:space="preserve">Kostenverordnung für Nutzleistungen der Physikalisch-Technischen Bundesanstalt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Wird eine Nutzleistung wegen besonderer Dringlichkeit auf Antrag außer der Reihe der laufenden Arbeiten erbracht, so kann ein Zuschlag von höchstens 100 vom Hundert der nach den §§ 3 bis 5 errechneten Gebühr erhoben werden.</w:t>
      </w:r>
    </w:p>
    <w:p>
      <w:r>
        <w:rPr>
          <w:color w:val="555555"/>
          <w:sz w:val="17"/>
        </w:rPr>
        <w:t xml:space="preserve">Zitiervorschlag: § 6 PTBAKostO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https://recht.nulegal.eu/gesetze/PTBAKostO/6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