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PTBAKostO — Gebühr nach Zeitaufwand, Reise- und Wartezeiten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 wird auf der Grundlage der in der Anlage 1 zu dieser Kostenverordnung für die einzelnen Tätigkeitsbereiche aufgeführten Stundensätze nach Zeitaufwand berechnet. Der Zeitaufwand wird in Stunden ermittelt. Angefangene Stunden werden anteilig erfasst. Dabei ist auf volle Viertelstunden aufzurunden.</w:t>
      </w:r>
    </w:p>
    <w:p>
      <w:r>
        <w:t xml:space="preserve">(2) Zum Zeitaufwand gehören insbesondere folgende Tätigkeiten:</w:t>
      </w:r>
    </w:p>
    <w:p>
      <w:pPr>
        <w:ind w:left="420"/>
      </w:pPr>
      <w:r>
        <w:t xml:space="preserve">1. vorbereitende Schriftwechsel und Gespräche, Aufbau und Umbau von Prüfanlagen einschließlich der notwendigen Werkstattarbeiten sowie sonstige Vorarbeiten,</w:t>
      </w:r>
    </w:p>
    <w:p>
      <w:pPr>
        <w:ind w:left="420"/>
      </w:pPr>
      <w:r>
        <w:t xml:space="preserve">2. die unmittelbare Prüfarbeit am Prüfobjekt,</w:t>
      </w:r>
    </w:p>
    <w:p>
      <w:pPr>
        <w:ind w:left="420"/>
      </w:pPr>
      <w:r>
        <w:t xml:space="preserve">3. Abbau der Prüfanlagen, Auswertung der Protokolle, Anfertigung der Prüfungsurkunden sowie sonstige Abschlussarbeiten,</w:t>
      </w:r>
    </w:p>
    <w:p>
      <w:pPr>
        <w:ind w:left="420"/>
      </w:pPr>
      <w:r>
        <w:t xml:space="preserve">4. Besprechungen sowie Schreibarbeiten.</w:t>
      </w:r>
    </w:p>
    <w:p>
      <w:r>
        <w:t xml:space="preserve">(3) Werden Nutzleistungen außerhalb der Bundesanstalt erbracht, so sind Gebühren nach dem Zeitaufwand ferner zu berechnen für</w:t>
      </w:r>
    </w:p>
    <w:p>
      <w:pPr>
        <w:ind w:left="420"/>
      </w:pPr>
      <w:r>
        <w:t xml:space="preserve">1. Reisezeiten, die innerhalb der üblichen Arbeitszeit liegen oder von der Bundesanstalt besonders abgegolten werden,</w:t>
      </w:r>
    </w:p>
    <w:p>
      <w:pPr>
        <w:ind w:left="420"/>
      </w:pPr>
      <w:r>
        <w:t xml:space="preserve">2. Wartezeiten, die vom Kostenschuldner verursacht worden sind.</w:t>
      </w:r>
    </w:p>
    <w:p>
      <w:r>
        <w:rPr>
          <w:color w:val="555555"/>
          <w:sz w:val="17"/>
        </w:rPr>
        <w:t xml:space="preserve">Zitiervorschlag: § 3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