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PTBAKostO — Berechnung der Gebühr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 wird nach dem Zeitaufwand (§ 3) berechnet, in den Fällen der §§ 4 bis 6 zuzüglich einem Entgelt für</w:t>
      </w:r>
    </w:p>
    <w:p>
      <w:pPr>
        <w:ind w:left="420"/>
      </w:pPr>
      <w:r>
        <w:t xml:space="preserve">1. Sonderaufwendungen (§ 4),</w:t>
      </w:r>
    </w:p>
    <w:p>
      <w:pPr>
        <w:ind w:left="420"/>
      </w:pPr>
      <w:r>
        <w:t xml:space="preserve">2. die Überlassung von Anlagen und Geräten auf Zeit (§ 5),</w:t>
      </w:r>
    </w:p>
    <w:p>
      <w:pPr>
        <w:ind w:left="420"/>
      </w:pPr>
      <w:r>
        <w:t xml:space="preserve">3. beschleunigt erbrachte Nutzleistungen (§ 6).</w:t>
      </w:r>
    </w:p>
    <w:p>
      <w:r>
        <w:t xml:space="preserve">Für häufig wiederkehrende Nutzleistungen werden statt der Gebühr nach § 3 Festgebühren nach § 3a erhoben.</w:t>
      </w:r>
    </w:p>
    <w:p>
      <w:r>
        <w:rPr>
          <w:color w:val="555555"/>
          <w:sz w:val="17"/>
        </w:rPr>
        <w:t xml:space="preserve">Zitiervorschlag: § 2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