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PTAG — Übergangsvorschriften für die Mindestanforderungen an Schulen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Voraussetzungen des § 16 Absatz 1 Satz 2 Nummer 1 und 2 gelten als erfüllt, wenn als Schulleitung oder als Lehrkräfte Personen eingesetzt werden, die am 1. Januar 2023</w:t>
      </w:r>
    </w:p>
    <w:p>
      <w:pPr>
        <w:ind w:left="420"/>
      </w:pPr>
      <w:r>
        <w:t xml:space="preserve">1. eine Schule leiten, die pharmazeutisch-technische Assistentinnen und pharmazeutisch-technische Assistenten ausbildet,</w:t>
      </w:r>
    </w:p>
    <w:p>
      <w:pPr>
        <w:ind w:left="420"/>
      </w:pPr>
      <w:r>
        <w:t xml:space="preserve">2. als Lehrkräfte an einer Schule unterrichten, die pharmazeutisch-technische Assistentinnen und pharmazeutisch-technische Assistenten ausbildet, oder</w:t>
      </w:r>
    </w:p>
    <w:p>
      <w:pPr>
        <w:ind w:left="420"/>
      </w:pPr>
      <w:r>
        <w:t xml:space="preserve">3. ein berufspädagogisches Studium zur Leitung einer Schule oder für eine Tätigkeit als Lehrkraft an einer Schule, die pharmazeutisch-technische Assistentinnen und pharmazeutisch-technische Assistenten ausbildet, oder eine entsprechende Weiterbildung nach der Weiterbildungsordnung der zuständigen Apothekerkammer absolvieren und das Studium oder die entsprechende Weiterbildung nach Inkrafttreten dieses Gesetzes erfolgreich abschließen.</w:t>
      </w:r>
    </w:p>
    <w:p>
      <w:r>
        <w:t xml:space="preserve">(2) Die Schule hat der zuständigen Behörde bis zum 1. Januar 2030 nachzuweisen, dass sie die in § 16 genannten Anforderungen erfüllt. Die Voraussetzungen des § 16 Absatz 1 Satz 2 Nummer 1 und 2 gelten als erfüllt, wenn als Schulleitung oder als Lehrkräfte Personen eingesetzt werden, die nach dem 1. Januar 2023 mindestens drei Jahre lang in der entsprechenden Position tätig gewesen sind.</w:t>
      </w:r>
    </w:p>
    <w:p>
      <w:r>
        <w:rPr>
          <w:color w:val="555555"/>
          <w:sz w:val="17"/>
        </w:rPr>
        <w:t xml:space="preserve">Zitiervorschlag: § 58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