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PTAG — Pflicht zur erneuten Meldung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Beabsichtigt die dienstleistungserbringende Person nach Ablauf eines Jahres nach der letzten Meldung erneut, vorübergehend und gelegentlich Dienstleistungen im Geltungsbereich dieses Gesetzes zu erbringen, ist die Meldung zu erneuern.</w:t>
      </w:r>
    </w:p>
    <w:p>
      <w:r>
        <w:t xml:space="preserve">(2) Die erneute Meldung ist der zuständigen Behörde des Landes zu machen, in dem die Dienstleistung erbracht werden soll.</w:t>
      </w:r>
    </w:p>
    <w:p>
      <w:r>
        <w:rPr>
          <w:color w:val="555555"/>
          <w:sz w:val="17"/>
        </w:rPr>
        <w:t xml:space="preserve">Zitiervorschlag: § 48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