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PTAG — Widerruf der Erlaubnis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Erlaubnis nach § 1 ist zu widerrufen, wenn bekannt wird, dass sich die Inhaberin oder der Inhaber einer Erlaubnis eines Verhaltens schuldig gemacht hat, aus dem sich die Unzuverlässigkeit zur Berufsausübung ergibt.</w:t>
      </w:r>
    </w:p>
    <w:p>
      <w:r>
        <w:t xml:space="preserve">(2) Die Erlaubnis kann widerrufen werden, wenn die Inhaberin oder der Inhaber einer Erlaubnis in gesundheitlicher Hinsicht dauerhaft nicht mehr zur Berufsausübung geeignet ist.</w:t>
      </w:r>
    </w:p>
    <w:p>
      <w:r>
        <w:t xml:space="preserve">(3) Im Übrigen bleiben die dem § 49 des Verwaltungsverfahrensgesetzes entsprechenden landesgesetzlichen Vorschriften unberührt.</w:t>
      </w:r>
    </w:p>
    <w:p>
      <w:r>
        <w:rPr>
          <w:color w:val="555555"/>
          <w:sz w:val="17"/>
        </w:rPr>
        <w:t xml:space="preserve">Zitiervorschlag: § 4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